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8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umowy o pracę lub umowy cywilnoprawnej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Fizyka Techniczna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pracy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przełożonego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pracował w naszej firmie.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przełożonego ze strony zakładu pracy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(U_01) wykazuje umiejętności potrzebne do wykonywania zawodu inżyniera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(U_02) stosuje  metody rozwiązywania problemów inżynierskich w praktyce.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(U_03) wykorzystuje poznane metody analizy procesów technologicznych oraz danych gospodarczo-ekonomicznych (odpowiednio do profilu instytucji będącej miejscem praktyki).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(U_04) opracowuje krótkie raporty i sprawozdania z wykonanej pracy oraz inną niezbędną dokumentację.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(U_05) wykorzystuje różne źródła w pozyskiwaniu informacji niezbędnych do wykonywania zadań wynikających z harmonogramu praktyki.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.8710937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(K_01) wykazuje umiejętności komunikacyjne i  interpersonalne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(K_06) rozumie społeczne znaczenie zawodu inżyniera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5jO6CqYJVGbVY1opMkut/y0Igg==">CgMxLjAyCGguZ2pkZ3hzOAByITFrZjhBYkp6WnNSNkxpYml4SkVpb3hQZ2V4Rng4ajZadw==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2021-01-15T20:39:00Z</dcterms:created>
  <dc:creator>Ryszard</dc:creator>
</cp:coreProperties>
</file>